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01F8A" w14:textId="77777777" w:rsidR="00F63A8E" w:rsidRDefault="00F63A8E" w:rsidP="00F63A8E">
      <w:pPr>
        <w:pStyle w:val="5Chead"/>
        <w:rPr>
          <w:sz w:val="22"/>
          <w:szCs w:val="22"/>
        </w:rPr>
      </w:pPr>
      <w:r>
        <w:rPr>
          <w:sz w:val="22"/>
          <w:szCs w:val="22"/>
        </w:rPr>
        <w:t xml:space="preserve">Edexcel AS/A-level Year 1 Economics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exam practice answers</w:t>
      </w:r>
    </w:p>
    <w:p w14:paraId="6D16B2FE" w14:textId="77777777" w:rsidR="00F63A8E" w:rsidRDefault="00F63A8E" w:rsidP="00F63A8E">
      <w:pPr>
        <w:pStyle w:val="2Firstmainhead"/>
      </w:pPr>
      <w:r>
        <w:t>3</w:t>
      </w:r>
      <w:r>
        <w:tab/>
        <w:t>Market failure</w:t>
      </w:r>
    </w:p>
    <w:p w14:paraId="1ADDAD84" w14:textId="77777777" w:rsidR="00F63A8E" w:rsidRDefault="00F63A8E" w:rsidP="00F63A8E">
      <w:pPr>
        <w:pStyle w:val="1Text"/>
        <w:tabs>
          <w:tab w:val="left" w:pos="426"/>
          <w:tab w:val="left" w:pos="993"/>
        </w:tabs>
        <w:ind w:left="993" w:hanging="993"/>
      </w:pPr>
      <w:r>
        <w:rPr>
          <w:rFonts w:ascii="Times New Roman Bold"/>
        </w:rPr>
        <w:t>1</w:t>
      </w:r>
      <w:r>
        <w:rPr>
          <w:rFonts w:ascii="Times New Roman Bold"/>
        </w:rPr>
        <w:tab/>
        <w:t>(a)</w:t>
      </w:r>
      <w:r>
        <w:tab/>
        <w:t>Private costs are costs to owners of oil freighters: wages of workers; cost of freighter</w:t>
      </w:r>
      <w:proofErr w:type="gramStart"/>
      <w:r>
        <w:t>;</w:t>
      </w:r>
      <w:proofErr w:type="gramEnd"/>
      <w:r>
        <w:t xml:space="preserve"> energy to power freighter.</w:t>
      </w:r>
    </w:p>
    <w:p w14:paraId="45566284" w14:textId="77777777" w:rsidR="00F63A8E" w:rsidRDefault="00F63A8E" w:rsidP="00F63A8E">
      <w:pPr>
        <w:pStyle w:val="1Text"/>
        <w:tabs>
          <w:tab w:val="left" w:pos="426"/>
          <w:tab w:val="left" w:pos="993"/>
        </w:tabs>
        <w:ind w:left="993"/>
        <w:rPr>
          <w:color w:val="0000FF"/>
          <w:u w:color="0000FF"/>
        </w:rPr>
      </w:pPr>
      <w:r>
        <w:t xml:space="preserve">External costs are costs to third parties not part of the transaction, e.g. lost revenue to hotel owners; lost revenues to other firms dependent on tourism. </w:t>
      </w:r>
      <w:r>
        <w:rPr>
          <w:color w:val="0000FF"/>
          <w:u w:color="0000FF"/>
        </w:rPr>
        <w:t>[3]</w:t>
      </w:r>
    </w:p>
    <w:p w14:paraId="1E0E3952" w14:textId="77777777" w:rsidR="00F63A8E" w:rsidRDefault="00F63A8E" w:rsidP="00F63A8E">
      <w:pPr>
        <w:pStyle w:val="1Text"/>
        <w:tabs>
          <w:tab w:val="left" w:pos="426"/>
          <w:tab w:val="left" w:pos="993"/>
        </w:tabs>
        <w:rPr>
          <w:color w:val="0000FF"/>
          <w:u w:color="0000FF"/>
        </w:rPr>
      </w:pPr>
      <w:r>
        <w:rPr>
          <w:rFonts w:ascii="Times New Roman Bold" w:eastAsia="Times New Roman Bold" w:hAnsi="Times New Roman Bold" w:cs="Times New Roman Bold"/>
        </w:rPr>
        <w:tab/>
        <w:t>(b)</w:t>
      </w:r>
      <w:r>
        <w:rPr>
          <w:rFonts w:ascii="Times New Roman Bold" w:eastAsia="Times New Roman Bold" w:hAnsi="Times New Roman Bold" w:cs="Times New Roman Bold"/>
        </w:rPr>
        <w:tab/>
        <w:t xml:space="preserve">Correct answer </w:t>
      </w:r>
      <w:r>
        <w:rPr>
          <w:rFonts w:ascii="Times New Roman Bold"/>
        </w:rPr>
        <w:t xml:space="preserve">D: </w:t>
      </w:r>
      <w:r>
        <w:t xml:space="preserve">social costs are greater than private costs. </w:t>
      </w:r>
      <w:r>
        <w:rPr>
          <w:color w:val="0000FF"/>
          <w:u w:color="0000FF"/>
        </w:rPr>
        <w:t>[1]</w:t>
      </w:r>
    </w:p>
    <w:p w14:paraId="22B9D0B0" w14:textId="77777777" w:rsidR="00F63A8E" w:rsidRDefault="00F63A8E" w:rsidP="00F63A8E">
      <w:pPr>
        <w:pStyle w:val="1Text"/>
        <w:tabs>
          <w:tab w:val="left" w:pos="426"/>
          <w:tab w:val="left" w:pos="993"/>
        </w:tabs>
        <w:rPr>
          <w:color w:val="0000FF"/>
          <w:u w:color="0000FF"/>
        </w:rPr>
      </w:pPr>
      <w:r>
        <w:rPr>
          <w:rFonts w:ascii="Times New Roman Bold"/>
        </w:rPr>
        <w:t>2</w:t>
      </w:r>
      <w:r>
        <w:rPr>
          <w:rFonts w:ascii="Times New Roman Bold"/>
        </w:rPr>
        <w:tab/>
        <w:t>(a)</w:t>
      </w:r>
      <w:r>
        <w:rPr>
          <w:rFonts w:ascii="Times New Roman Bold"/>
        </w:rPr>
        <w:tab/>
        <w:t xml:space="preserve">Correct answer C: </w:t>
      </w:r>
      <w:r>
        <w:t>public goods are</w:t>
      </w:r>
      <w:r>
        <w:rPr>
          <w:rFonts w:ascii="Times New Roman Bold"/>
        </w:rPr>
        <w:t xml:space="preserve"> </w:t>
      </w:r>
      <w:r>
        <w:t xml:space="preserve">under-provided by the private sector. </w:t>
      </w:r>
      <w:r>
        <w:rPr>
          <w:color w:val="0000FF"/>
          <w:u w:color="0000FF"/>
        </w:rPr>
        <w:t>[1]</w:t>
      </w:r>
    </w:p>
    <w:p w14:paraId="4D87B7DE" w14:textId="77777777" w:rsidR="00F63A8E" w:rsidRDefault="00F63A8E" w:rsidP="00F63A8E">
      <w:pPr>
        <w:pStyle w:val="1Text"/>
        <w:tabs>
          <w:tab w:val="left" w:pos="426"/>
          <w:tab w:val="left" w:pos="993"/>
        </w:tabs>
      </w:pPr>
      <w:r>
        <w:tab/>
      </w:r>
      <w:r>
        <w:rPr>
          <w:rFonts w:ascii="Times New Roman Bold"/>
        </w:rPr>
        <w:t>(b)</w:t>
      </w:r>
      <w:r>
        <w:tab/>
        <w:t>Two characteristics of public goods: non-excludability and non-</w:t>
      </w:r>
      <w:proofErr w:type="spellStart"/>
      <w:r>
        <w:t>rivalrous</w:t>
      </w:r>
      <w:proofErr w:type="spellEnd"/>
      <w:r>
        <w:t>.</w:t>
      </w:r>
    </w:p>
    <w:p w14:paraId="6AA5A7DF" w14:textId="77777777" w:rsidR="00F63A8E" w:rsidRDefault="00F63A8E" w:rsidP="00F63A8E">
      <w:pPr>
        <w:pStyle w:val="1Text"/>
        <w:tabs>
          <w:tab w:val="left" w:pos="426"/>
          <w:tab w:val="left" w:pos="993"/>
        </w:tabs>
        <w:ind w:left="993"/>
        <w:rPr>
          <w:color w:val="0000FF"/>
          <w:u w:color="0000FF"/>
        </w:rPr>
      </w:pPr>
      <w:r>
        <w:t xml:space="preserve">Private goods are excludable, i.e. people can be excluded from buying them because of the price charged. Also, consumption by one person limits consumption by others. </w:t>
      </w:r>
      <w:r>
        <w:rPr>
          <w:color w:val="0000FF"/>
          <w:u w:color="0000FF"/>
        </w:rPr>
        <w:t>[3]</w:t>
      </w:r>
    </w:p>
    <w:p w14:paraId="70260940" w14:textId="77777777" w:rsidR="00F63A8E" w:rsidRDefault="00F63A8E" w:rsidP="00F63A8E">
      <w:pPr>
        <w:pStyle w:val="1Text"/>
        <w:tabs>
          <w:tab w:val="left" w:pos="426"/>
          <w:tab w:val="left" w:pos="993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3</w:t>
      </w:r>
      <w:r>
        <w:rPr>
          <w:rFonts w:ascii="Times New Roman Bold"/>
        </w:rPr>
        <w:tab/>
        <w:t>Outline answers:</w:t>
      </w:r>
    </w:p>
    <w:p w14:paraId="7E3DC406" w14:textId="77777777" w:rsidR="00F63A8E" w:rsidRDefault="00F63A8E" w:rsidP="00F63A8E">
      <w:pPr>
        <w:pStyle w:val="1Text"/>
        <w:tabs>
          <w:tab w:val="left" w:pos="993"/>
        </w:tabs>
        <w:ind w:left="993" w:hanging="993"/>
        <w:rPr>
          <w:color w:val="0000FF"/>
          <w:u w:color="0000FF"/>
        </w:rPr>
      </w:pPr>
      <w:r>
        <w:rPr>
          <w:rFonts w:ascii="Times New Roman Bold"/>
        </w:rPr>
        <w:t>(a)</w:t>
      </w:r>
      <w:r>
        <w:tab/>
        <w:t xml:space="preserve">Definition of opportunity cost. Possible examples include new hospitals; new infrastructure, e.g. roads, rail links. </w:t>
      </w:r>
      <w:r>
        <w:rPr>
          <w:color w:val="0000FF"/>
          <w:u w:color="0000FF"/>
        </w:rPr>
        <w:t>[4]</w:t>
      </w:r>
    </w:p>
    <w:p w14:paraId="22960A0D" w14:textId="77777777" w:rsidR="00F63A8E" w:rsidRDefault="00F63A8E" w:rsidP="00F63A8E">
      <w:pPr>
        <w:pStyle w:val="1Text"/>
        <w:tabs>
          <w:tab w:val="left" w:pos="993"/>
        </w:tabs>
        <w:ind w:left="993" w:hanging="993"/>
        <w:rPr>
          <w:color w:val="0000FF"/>
          <w:u w:color="0000FF"/>
        </w:rPr>
      </w:pPr>
      <w:r>
        <w:rPr>
          <w:rFonts w:ascii="Times New Roman Bold"/>
        </w:rPr>
        <w:t>(b)</w:t>
      </w:r>
      <w:r>
        <w:tab/>
        <w:t xml:space="preserve">University education is excludable, i.e. it is possible to prevent people from using this service through, for example, entrance requirements and the requirement to pay fees. Further, it is </w:t>
      </w:r>
      <w:proofErr w:type="spellStart"/>
      <w:r>
        <w:t>rivalrous</w:t>
      </w:r>
      <w:proofErr w:type="spellEnd"/>
      <w:r>
        <w:t xml:space="preserve">, i.e. use by one person restricts use by others. </w:t>
      </w:r>
      <w:r>
        <w:rPr>
          <w:color w:val="0000FF"/>
          <w:u w:color="0000FF"/>
        </w:rPr>
        <w:t>[5]</w:t>
      </w:r>
    </w:p>
    <w:p w14:paraId="710C4F8A" w14:textId="77777777" w:rsidR="00F63A8E" w:rsidRDefault="00F63A8E" w:rsidP="00F63A8E">
      <w:pPr>
        <w:pStyle w:val="1Text"/>
        <w:tabs>
          <w:tab w:val="left" w:pos="993"/>
        </w:tabs>
        <w:ind w:left="993" w:hanging="993"/>
        <w:rPr>
          <w:color w:val="0000FF"/>
          <w:u w:color="0000FF"/>
        </w:rPr>
      </w:pPr>
      <w:r>
        <w:rPr>
          <w:rFonts w:ascii="Times New Roman Bold"/>
        </w:rPr>
        <w:t>(c)</w:t>
      </w:r>
      <w:r>
        <w:tab/>
        <w:t xml:space="preserve">Definition of private costs. Examples include tuition fees; books; </w:t>
      </w:r>
      <w:proofErr w:type="gramStart"/>
      <w:r>
        <w:t>internet</w:t>
      </w:r>
      <w:proofErr w:type="gramEnd"/>
      <w:r>
        <w:t xml:space="preserve"> connection; living costs; transport costs. </w:t>
      </w:r>
      <w:r>
        <w:rPr>
          <w:color w:val="0000FF"/>
          <w:u w:color="0000FF"/>
        </w:rPr>
        <w:t>[6]</w:t>
      </w:r>
    </w:p>
    <w:p w14:paraId="00545188" w14:textId="77777777" w:rsidR="00F63A8E" w:rsidRDefault="00F63A8E" w:rsidP="00F63A8E">
      <w:pPr>
        <w:pStyle w:val="1Text"/>
        <w:tabs>
          <w:tab w:val="left" w:pos="993"/>
        </w:tabs>
        <w:ind w:left="993" w:hanging="993"/>
      </w:pPr>
      <w:r>
        <w:rPr>
          <w:rFonts w:ascii="Times New Roman Bold"/>
        </w:rPr>
        <w:t>(d)</w:t>
      </w:r>
      <w:r>
        <w:tab/>
        <w:t xml:space="preserve">Definitions of private and external benefits. Private benefits include higher potential earnings and more job satisfaction. External benefits include higher economic growth, higher levels of employment, </w:t>
      </w:r>
      <w:proofErr w:type="gramStart"/>
      <w:r>
        <w:t>higher</w:t>
      </w:r>
      <w:proofErr w:type="gramEnd"/>
      <w:r>
        <w:t xml:space="preserve"> profits for firms and increased tax revenue for the government. External benefits diagram including welfare triangle.</w:t>
      </w:r>
    </w:p>
    <w:p w14:paraId="3DC86D34" w14:textId="77777777" w:rsidR="00F63A8E" w:rsidRDefault="00F63A8E" w:rsidP="00F63A8E">
      <w:pPr>
        <w:pStyle w:val="1Text"/>
        <w:tabs>
          <w:tab w:val="left" w:pos="993"/>
        </w:tabs>
        <w:ind w:left="993" w:hanging="993"/>
        <w:rPr>
          <w:color w:val="0000FF"/>
          <w:u w:color="0000FF"/>
        </w:rPr>
      </w:pPr>
      <w:r>
        <w:tab/>
      </w:r>
      <w:r>
        <w:rPr>
          <w:rFonts w:ascii="Times New Roman Bold"/>
        </w:rPr>
        <w:t>Evaluation:</w:t>
      </w:r>
      <w:r>
        <w:t xml:space="preserve"> uncertainty of value of private benefits, e.g. because of high graduate unemployment</w:t>
      </w:r>
      <w:proofErr w:type="gramStart"/>
      <w:r>
        <w:t>;</w:t>
      </w:r>
      <w:proofErr w:type="gramEnd"/>
      <w:r>
        <w:t xml:space="preserve"> type of degree. Difficult to quantify external benefits in monetary terms, danger of brain drain, impact of improvements in university education in other countries. </w:t>
      </w:r>
      <w:r>
        <w:rPr>
          <w:color w:val="0000FF"/>
          <w:u w:color="0000FF"/>
        </w:rPr>
        <w:t>[15]</w:t>
      </w:r>
    </w:p>
    <w:p w14:paraId="4D123078" w14:textId="77777777" w:rsidR="00F63A8E" w:rsidRDefault="00F63A8E" w:rsidP="00F63A8E">
      <w:pPr>
        <w:pStyle w:val="1Text"/>
        <w:tabs>
          <w:tab w:val="left" w:pos="993"/>
        </w:tabs>
        <w:ind w:left="993" w:hanging="993"/>
      </w:pPr>
      <w:r>
        <w:rPr>
          <w:rFonts w:ascii="Times New Roman Bold"/>
        </w:rPr>
        <w:t>(e)</w:t>
      </w:r>
      <w:r>
        <w:tab/>
        <w:t>Definition of price elasticity of demand.</w:t>
      </w:r>
    </w:p>
    <w:p w14:paraId="4DDA45E2" w14:textId="77777777" w:rsidR="00F63A8E" w:rsidRDefault="00F63A8E" w:rsidP="00F63A8E">
      <w:pPr>
        <w:pStyle w:val="1Text"/>
        <w:tabs>
          <w:tab w:val="left" w:pos="993"/>
        </w:tabs>
        <w:ind w:left="993" w:hanging="993"/>
      </w:pPr>
      <w:r>
        <w:tab/>
        <w:t>Calculation of PED = 10 ÷ 166.67 = 0.06.</w:t>
      </w:r>
    </w:p>
    <w:p w14:paraId="49B7C438" w14:textId="77777777" w:rsidR="00F63A8E" w:rsidRDefault="00F63A8E" w:rsidP="00F63A8E">
      <w:pPr>
        <w:pStyle w:val="1Text"/>
        <w:tabs>
          <w:tab w:val="left" w:pos="993"/>
        </w:tabs>
        <w:ind w:left="993" w:hanging="993"/>
        <w:rPr>
          <w:color w:val="0000FF"/>
          <w:u w:color="0000FF"/>
        </w:rPr>
      </w:pPr>
      <w:r>
        <w:tab/>
        <w:t xml:space="preserve">This suggests that demand is price inelastic, i.e. the price change has caused a less than proportionate fall in quantity demanded. However, elasticity of demand may vary between different income groups and from different countries. Further, the PED may change over time. </w:t>
      </w:r>
      <w:r>
        <w:rPr>
          <w:color w:val="0000FF"/>
          <w:u w:color="0000FF"/>
        </w:rPr>
        <w:t>[10]</w:t>
      </w:r>
    </w:p>
    <w:p w14:paraId="29EF7F5F" w14:textId="77777777" w:rsidR="00F63A8E" w:rsidRDefault="00F63A8E" w:rsidP="00F63A8E">
      <w:pPr>
        <w:pStyle w:val="1Text"/>
        <w:tabs>
          <w:tab w:val="left" w:pos="993"/>
        </w:tabs>
        <w:ind w:left="993" w:hanging="993"/>
      </w:pPr>
      <w:r>
        <w:rPr>
          <w:rFonts w:ascii="Times New Roman Bold"/>
        </w:rPr>
        <w:t>(f)</w:t>
      </w:r>
      <w:r>
        <w:tab/>
        <w:t>Case for increased tuition fees:</w:t>
      </w:r>
    </w:p>
    <w:p w14:paraId="63F62FFC" w14:textId="77777777" w:rsidR="00F63A8E" w:rsidRDefault="00F63A8E" w:rsidP="00F63A8E">
      <w:pPr>
        <w:pStyle w:val="1Tex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high</w:t>
      </w:r>
      <w:proofErr w:type="gramEnd"/>
      <w:r>
        <w:t xml:space="preserve"> private benefits</w:t>
      </w:r>
    </w:p>
    <w:p w14:paraId="769BB388" w14:textId="77777777" w:rsidR="00F63A8E" w:rsidRDefault="00F63A8E" w:rsidP="00F63A8E">
      <w:pPr>
        <w:pStyle w:val="1Tex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incentive</w:t>
      </w:r>
      <w:proofErr w:type="gramEnd"/>
      <w:r>
        <w:t xml:space="preserve"> for universities to be more responsive to the market e.g. by providing more places on courses which are in high demand </w:t>
      </w:r>
    </w:p>
    <w:p w14:paraId="4E435234" w14:textId="77777777" w:rsidR="00F63A8E" w:rsidRDefault="00F63A8E" w:rsidP="00F63A8E">
      <w:pPr>
        <w:pStyle w:val="1Tex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lastRenderedPageBreak/>
        <w:t>the</w:t>
      </w:r>
      <w:proofErr w:type="gramEnd"/>
      <w:r>
        <w:t xml:space="preserve"> universities can use the revenue to improve facilities, employ better-quality staff</w:t>
      </w:r>
    </w:p>
    <w:p w14:paraId="07B58104" w14:textId="77777777" w:rsidR="00F63A8E" w:rsidRDefault="00F63A8E" w:rsidP="00F63A8E">
      <w:pPr>
        <w:pStyle w:val="1Tex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government</w:t>
      </w:r>
      <w:proofErr w:type="gramEnd"/>
      <w:r>
        <w:t xml:space="preserve"> will have more resources to reduce the budget deficit or to spend in other areas in the economy </w:t>
      </w:r>
    </w:p>
    <w:p w14:paraId="59232E0C" w14:textId="77777777" w:rsidR="00F63A8E" w:rsidRDefault="00F63A8E" w:rsidP="00F63A8E">
      <w:pPr>
        <w:pStyle w:val="1Tex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students</w:t>
      </w:r>
      <w:proofErr w:type="gramEnd"/>
      <w:r>
        <w:t xml:space="preserve"> can demand more contact time</w:t>
      </w:r>
    </w:p>
    <w:p w14:paraId="35AA7A05" w14:textId="77777777" w:rsidR="00F63A8E" w:rsidRDefault="00F63A8E" w:rsidP="00F63A8E">
      <w:pPr>
        <w:pStyle w:val="1Text"/>
        <w:tabs>
          <w:tab w:val="left" w:pos="993"/>
        </w:tabs>
        <w:ind w:left="993" w:hanging="993"/>
      </w:pPr>
      <w:r>
        <w:tab/>
        <w:t>However:</w:t>
      </w:r>
    </w:p>
    <w:p w14:paraId="6817EEBA" w14:textId="77777777" w:rsidR="00F63A8E" w:rsidRDefault="00F63A8E" w:rsidP="00F63A8E">
      <w:pPr>
        <w:pStyle w:val="1Tex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increased</w:t>
      </w:r>
      <w:proofErr w:type="gramEnd"/>
      <w:r>
        <w:t xml:space="preserve"> tuition fees might deter people from applying to university</w:t>
      </w:r>
    </w:p>
    <w:p w14:paraId="792E3866" w14:textId="77777777" w:rsidR="00F63A8E" w:rsidRDefault="00F63A8E" w:rsidP="00F63A8E">
      <w:pPr>
        <w:pStyle w:val="1Tex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they</w:t>
      </w:r>
      <w:proofErr w:type="gramEnd"/>
      <w:r>
        <w:t xml:space="preserve"> might lead to significant decline in applications from low-income families</w:t>
      </w:r>
    </w:p>
    <w:p w14:paraId="7D36914B" w14:textId="77777777" w:rsidR="00F63A8E" w:rsidRDefault="00F63A8E" w:rsidP="00F63A8E">
      <w:pPr>
        <w:pStyle w:val="1Tex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some</w:t>
      </w:r>
      <w:proofErr w:type="gramEnd"/>
      <w:r>
        <w:t xml:space="preserve"> universities might go bankrupt if they fail to attract enough students</w:t>
      </w:r>
    </w:p>
    <w:p w14:paraId="3170EE59" w14:textId="77777777" w:rsidR="00F63A8E" w:rsidRDefault="00F63A8E" w:rsidP="00F63A8E">
      <w:pPr>
        <w:pStyle w:val="1Tex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color w:val="0000FF"/>
          <w:u w:color="0000FF"/>
        </w:rPr>
      </w:pPr>
      <w:proofErr w:type="gramStart"/>
      <w:r>
        <w:t>the</w:t>
      </w:r>
      <w:proofErr w:type="gramEnd"/>
      <w:r>
        <w:t xml:space="preserve"> range of courses might be reduced if they are uneconomic </w:t>
      </w:r>
      <w:r>
        <w:rPr>
          <w:color w:val="0000FF"/>
          <w:u w:color="0000FF"/>
        </w:rPr>
        <w:t>[20]</w:t>
      </w:r>
    </w:p>
    <w:p w14:paraId="547488CC" w14:textId="77777777" w:rsidR="00F63A8E" w:rsidRDefault="00F63A8E" w:rsidP="00F63A8E">
      <w:pPr>
        <w:pStyle w:val="1Text"/>
        <w:tabs>
          <w:tab w:val="left" w:pos="993"/>
        </w:tabs>
        <w:ind w:left="993" w:hanging="993"/>
      </w:pPr>
      <w:r>
        <w:rPr>
          <w:rFonts w:ascii="Times New Roman Bold"/>
        </w:rPr>
        <w:t>(g)</w:t>
      </w:r>
      <w:r>
        <w:tab/>
        <w:t>Information gaps include difficulty of:</w:t>
      </w:r>
    </w:p>
    <w:p w14:paraId="15B0EA5B" w14:textId="77777777" w:rsidR="00F63A8E" w:rsidRDefault="00F63A8E" w:rsidP="00F63A8E">
      <w:pPr>
        <w:pStyle w:val="1Tex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knowing</w:t>
      </w:r>
      <w:proofErr w:type="gramEnd"/>
      <w:r>
        <w:t xml:space="preserve"> for which degree course to apply</w:t>
      </w:r>
    </w:p>
    <w:p w14:paraId="3F1B5C48" w14:textId="77777777" w:rsidR="00F63A8E" w:rsidRDefault="00F63A8E" w:rsidP="00F63A8E">
      <w:pPr>
        <w:pStyle w:val="1Tex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knowing</w:t>
      </w:r>
      <w:proofErr w:type="gramEnd"/>
      <w:r>
        <w:t xml:space="preserve"> the quality of the education provided</w:t>
      </w:r>
    </w:p>
    <w:p w14:paraId="17B00AFA" w14:textId="77777777" w:rsidR="00F63A8E" w:rsidRDefault="00F63A8E" w:rsidP="00F63A8E">
      <w:pPr>
        <w:pStyle w:val="1Tex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knowing</w:t>
      </w:r>
      <w:proofErr w:type="gramEnd"/>
      <w:r>
        <w:t xml:space="preserve"> the future value of the degree</w:t>
      </w:r>
    </w:p>
    <w:p w14:paraId="57A1E3F9" w14:textId="77777777" w:rsidR="00F63A8E" w:rsidRDefault="00F63A8E" w:rsidP="00F63A8E">
      <w:pPr>
        <w:pStyle w:val="1Tex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knowing</w:t>
      </w:r>
      <w:proofErr w:type="gramEnd"/>
      <w:r>
        <w:t xml:space="preserve"> the earnings lost by going to university</w:t>
      </w:r>
    </w:p>
    <w:p w14:paraId="78B3A869" w14:textId="77777777" w:rsidR="00F63A8E" w:rsidRDefault="00F63A8E" w:rsidP="00F63A8E">
      <w:pPr>
        <w:pStyle w:val="1Tex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estimating</w:t>
      </w:r>
      <w:proofErr w:type="gramEnd"/>
      <w:r>
        <w:t xml:space="preserve"> total costs of going to university</w:t>
      </w:r>
    </w:p>
    <w:p w14:paraId="1F50C5FF" w14:textId="77777777" w:rsidR="00F63A8E" w:rsidRDefault="00F63A8E" w:rsidP="00F63A8E">
      <w:pPr>
        <w:pStyle w:val="1Text"/>
        <w:tabs>
          <w:tab w:val="left" w:pos="993"/>
        </w:tabs>
        <w:ind w:left="993" w:hanging="993"/>
      </w:pPr>
      <w:r>
        <w:tab/>
        <w:t>However:</w:t>
      </w:r>
    </w:p>
    <w:p w14:paraId="78C8993B" w14:textId="77777777" w:rsidR="00F63A8E" w:rsidRDefault="00F63A8E" w:rsidP="00F63A8E">
      <w:pPr>
        <w:pStyle w:val="1Tex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more</w:t>
      </w:r>
      <w:proofErr w:type="gramEnd"/>
      <w:r>
        <w:t xml:space="preserve"> information is available about courses, especially on the internet</w:t>
      </w:r>
    </w:p>
    <w:p w14:paraId="42AB6538" w14:textId="77777777" w:rsidR="00F63A8E" w:rsidRDefault="00F63A8E" w:rsidP="00F63A8E">
      <w:pPr>
        <w:pStyle w:val="1Tex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</w:pPr>
      <w:proofErr w:type="gramStart"/>
      <w:r>
        <w:t>information</w:t>
      </w:r>
      <w:proofErr w:type="gramEnd"/>
      <w:r>
        <w:t xml:space="preserve"> on the quality of courses is more readily available</w:t>
      </w:r>
    </w:p>
    <w:p w14:paraId="4456E7B1" w14:textId="77777777" w:rsidR="00F63A8E" w:rsidRPr="00587A80" w:rsidRDefault="00F63A8E" w:rsidP="00F63A8E">
      <w:pPr>
        <w:pStyle w:val="1Tex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 w:hanging="360"/>
        <w:rPr>
          <w:color w:val="0000FF"/>
          <w:u w:color="0000FF"/>
        </w:rPr>
      </w:pPr>
      <w:proofErr w:type="gramStart"/>
      <w:r>
        <w:rPr>
          <w:color w:val="0000FF"/>
        </w:rPr>
        <w:t>r</w:t>
      </w:r>
      <w:r>
        <w:t>esearch</w:t>
      </w:r>
      <w:proofErr w:type="gramEnd"/>
      <w:r>
        <w:t xml:space="preserve"> has been conducted to estimate the future value of a degree </w:t>
      </w:r>
      <w:r>
        <w:rPr>
          <w:color w:val="0000FF"/>
          <w:u w:color="0000FF"/>
        </w:rPr>
        <w:t>[20]</w:t>
      </w:r>
    </w:p>
    <w:p w14:paraId="32C06D42" w14:textId="04EE28BD" w:rsidR="003C0043" w:rsidRPr="00052CF4" w:rsidRDefault="003C0043" w:rsidP="00052CF4">
      <w:pPr>
        <w:pStyle w:val="1Text"/>
        <w:tabs>
          <w:tab w:val="left" w:pos="284"/>
          <w:tab w:val="left" w:pos="1134"/>
        </w:tabs>
        <w:ind w:left="284" w:hanging="254"/>
        <w:rPr>
          <w:b/>
        </w:rPr>
      </w:pPr>
      <w:bookmarkStart w:id="0" w:name="_GoBack"/>
      <w:bookmarkEnd w:id="0"/>
    </w:p>
    <w:sectPr w:rsidR="003C0043" w:rsidRPr="00052CF4" w:rsidSect="00392088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28B" w14:textId="77777777" w:rsidR="00BF12A9" w:rsidRDefault="00BF12A9">
      <w:r>
        <w:separator/>
      </w:r>
    </w:p>
  </w:endnote>
  <w:endnote w:type="continuationSeparator" w:id="0">
    <w:p w14:paraId="62C5B374" w14:textId="77777777" w:rsidR="00BF12A9" w:rsidRDefault="00B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Avenir Book"/>
    <w:charset w:val="0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DA281" w14:textId="77777777" w:rsidR="00392088" w:rsidRDefault="00392088" w:rsidP="00392088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3D80061D" w14:textId="77777777" w:rsidR="00392088" w:rsidRDefault="00392088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8051" w14:textId="77777777" w:rsidR="00392088" w:rsidRPr="00B75F00" w:rsidRDefault="00392088" w:rsidP="00392088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proofErr w:type="spellStart"/>
    <w:r w:rsidRPr="00B75F00">
      <w:rPr>
        <w:rFonts w:ascii="Arial" w:hAnsi="Arial"/>
        <w:sz w:val="20"/>
        <w:szCs w:val="20"/>
      </w:rPr>
      <w:t>Hodder</w:t>
    </w:r>
    <w:proofErr w:type="spellEnd"/>
    <w:r w:rsidRPr="00B75F00">
      <w:rPr>
        <w:rFonts w:ascii="Arial" w:hAnsi="Arial"/>
        <w:sz w:val="20"/>
        <w:szCs w:val="20"/>
      </w:rPr>
      <w:t xml:space="preserve"> </w:t>
    </w:r>
    <w:r w:rsidR="003F3CBA"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F63A8E">
      <w:rPr>
        <w:rFonts w:ascii="Arial" w:hAnsi="Arial"/>
        <w:noProof/>
        <w:color w:val="999999"/>
        <w:szCs w:val="20"/>
      </w:rPr>
      <w:t>2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C5745" w14:textId="77777777" w:rsidR="00BF12A9" w:rsidRDefault="00BF12A9">
      <w:r>
        <w:separator/>
      </w:r>
    </w:p>
  </w:footnote>
  <w:footnote w:type="continuationSeparator" w:id="0">
    <w:p w14:paraId="58527F50" w14:textId="77777777" w:rsidR="00BF12A9" w:rsidRDefault="00BF12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68DC" w14:textId="77777777" w:rsidR="00392088" w:rsidRDefault="00F20AA5" w:rsidP="00392088">
    <w:pPr>
      <w:ind w:left="-1418"/>
    </w:pPr>
    <w:r>
      <w:rPr>
        <w:noProof/>
        <w:lang w:val="en-US"/>
      </w:rPr>
      <w:drawing>
        <wp:inline distT="0" distB="0" distL="0" distR="0" wp14:anchorId="3BAA7863" wp14:editId="15D93599">
          <wp:extent cx="782320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CC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9697D4E"/>
    <w:multiLevelType w:val="multilevel"/>
    <w:tmpl w:val="CDF0F148"/>
    <w:lvl w:ilvl="0">
      <w:start w:val="10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2C10426"/>
    <w:multiLevelType w:val="multilevel"/>
    <w:tmpl w:val="B19AEEFE"/>
    <w:styleLink w:val="List7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3D3A0BEB"/>
    <w:multiLevelType w:val="multilevel"/>
    <w:tmpl w:val="F1866C54"/>
    <w:styleLink w:val="List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416B6AB9"/>
    <w:multiLevelType w:val="multilevel"/>
    <w:tmpl w:val="14F2DBC2"/>
    <w:lvl w:ilvl="0">
      <w:start w:val="6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62157871"/>
    <w:multiLevelType w:val="hybridMultilevel"/>
    <w:tmpl w:val="0EEA6934"/>
    <w:lvl w:ilvl="0" w:tplc="1B3435BE">
      <w:start w:val="1"/>
      <w:numFmt w:val="bullet"/>
      <w:pStyle w:val="7CChecklisttablebox"/>
      <w:lvlText w:val=""/>
      <w:lvlJc w:val="left"/>
      <w:pPr>
        <w:tabs>
          <w:tab w:val="num" w:pos="3164"/>
        </w:tabs>
        <w:ind w:left="3164" w:hanging="284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076FDF"/>
    <w:multiLevelType w:val="multilevel"/>
    <w:tmpl w:val="13005B32"/>
    <w:styleLink w:val="List51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72476EA6"/>
    <w:multiLevelType w:val="multilevel"/>
    <w:tmpl w:val="38CC563E"/>
    <w:styleLink w:val="List6"/>
    <w:lvl w:ilvl="0">
      <w:start w:val="15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bullet"/>
        <w:lvlText w:val="•"/>
        <w:lvlJc w:val="left"/>
        <w:rPr>
          <w:color w:val="auto"/>
          <w:position w:val="0"/>
          <w:rtl w:val="0"/>
        </w:rPr>
      </w:lvl>
    </w:lvlOverride>
  </w:num>
  <w:num w:numId="5">
    <w:abstractNumId w:val="6"/>
  </w:num>
  <w:num w:numId="6">
    <w:abstractNumId w:val="4"/>
  </w:num>
  <w:num w:numId="7">
    <w:abstractNumId w:val="1"/>
  </w:num>
  <w:num w:numId="8">
    <w:abstractNumId w:val="7"/>
    <w:lvlOverride w:ilvl="0">
      <w:lvl w:ilvl="0">
        <w:start w:val="15"/>
        <w:numFmt w:val="bullet"/>
        <w:lvlText w:val="•"/>
        <w:lvlJc w:val="left"/>
        <w:rPr>
          <w:color w:val="auto"/>
          <w:position w:val="0"/>
          <w:rtl w:val="0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52CF4"/>
    <w:rsid w:val="00392088"/>
    <w:rsid w:val="003C0043"/>
    <w:rsid w:val="003F3CBA"/>
    <w:rsid w:val="005408BE"/>
    <w:rsid w:val="008C340D"/>
    <w:rsid w:val="00BB36F6"/>
    <w:rsid w:val="00BF12A9"/>
    <w:rsid w:val="00C65661"/>
    <w:rsid w:val="00CB6FB6"/>
    <w:rsid w:val="00F20AA5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8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1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2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  <w:style w:type="numbering" w:customStyle="1" w:styleId="List7">
    <w:name w:val="List 7"/>
    <w:basedOn w:val="NoList"/>
    <w:rsid w:val="00BB36F6"/>
    <w:pPr>
      <w:numPr>
        <w:numId w:val="3"/>
      </w:numPr>
    </w:pPr>
  </w:style>
  <w:style w:type="numbering" w:customStyle="1" w:styleId="List8">
    <w:name w:val="List 8"/>
    <w:basedOn w:val="NoList"/>
    <w:rsid w:val="00BB36F6"/>
    <w:pPr>
      <w:numPr>
        <w:numId w:val="4"/>
      </w:numPr>
    </w:pPr>
  </w:style>
  <w:style w:type="numbering" w:customStyle="1" w:styleId="List51">
    <w:name w:val="List 51"/>
    <w:basedOn w:val="NoList"/>
    <w:rsid w:val="00F63A8E"/>
    <w:pPr>
      <w:numPr>
        <w:numId w:val="5"/>
      </w:numPr>
    </w:pPr>
  </w:style>
  <w:style w:type="numbering" w:customStyle="1" w:styleId="List6">
    <w:name w:val="List 6"/>
    <w:basedOn w:val="NoList"/>
    <w:rsid w:val="00F63A8E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B"/>
    <w:rPr>
      <w:sz w:val="24"/>
      <w:szCs w:val="24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2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2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2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1"/>
      </w:numPr>
    </w:pPr>
  </w:style>
  <w:style w:type="paragraph" w:customStyle="1" w:styleId="2Firstmainhead">
    <w:name w:val="(2) First main head"/>
    <w:basedOn w:val="2Mainhead"/>
    <w:rsid w:val="00192C10"/>
    <w:pPr>
      <w:spacing w:before="240" w:after="240"/>
    </w:pPr>
    <w:rPr>
      <w:rFonts w:ascii="Times New Roman" w:hAnsi="Times New Roman"/>
      <w:b/>
      <w:color w:val="008000"/>
      <w:sz w:val="72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1"/>
      </w:numPr>
    </w:pPr>
    <w:rPr>
      <w:sz w:val="36"/>
    </w:rPr>
  </w:style>
  <w:style w:type="paragraph" w:styleId="BodyTextIndent3">
    <w:name w:val="Body Text Indent 3"/>
    <w:basedOn w:val="Normal"/>
    <w:rsid w:val="00646393"/>
    <w:pPr>
      <w:spacing w:after="120"/>
      <w:ind w:left="283"/>
    </w:pPr>
    <w:rPr>
      <w:sz w:val="16"/>
      <w:szCs w:val="1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numbering" w:styleId="ArticleSection">
    <w:name w:val="Outline List 3"/>
    <w:basedOn w:val="NoList"/>
    <w:rsid w:val="00113E9B"/>
    <w:pPr>
      <w:numPr>
        <w:numId w:val="2"/>
      </w:numPr>
    </w:pPr>
  </w:style>
  <w:style w:type="table" w:styleId="TableGrid">
    <w:name w:val="Table Grid"/>
    <w:basedOn w:val="TableNormal"/>
    <w:rsid w:val="00FC4DBB"/>
    <w:rPr>
      <w:rFonts w:ascii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F3C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C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F3CB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4"/>
    <w:rPr>
      <w:rFonts w:ascii="Lucida Grande" w:hAnsi="Lucida Grande" w:cs="Lucida Grande"/>
      <w:sz w:val="18"/>
      <w:szCs w:val="18"/>
    </w:rPr>
  </w:style>
  <w:style w:type="numbering" w:customStyle="1" w:styleId="List7">
    <w:name w:val="List 7"/>
    <w:basedOn w:val="NoList"/>
    <w:rsid w:val="00BB36F6"/>
    <w:pPr>
      <w:numPr>
        <w:numId w:val="3"/>
      </w:numPr>
    </w:pPr>
  </w:style>
  <w:style w:type="numbering" w:customStyle="1" w:styleId="List8">
    <w:name w:val="List 8"/>
    <w:basedOn w:val="NoList"/>
    <w:rsid w:val="00BB36F6"/>
    <w:pPr>
      <w:numPr>
        <w:numId w:val="4"/>
      </w:numPr>
    </w:pPr>
  </w:style>
  <w:style w:type="numbering" w:customStyle="1" w:styleId="List51">
    <w:name w:val="List 51"/>
    <w:basedOn w:val="NoList"/>
    <w:rsid w:val="00F63A8E"/>
    <w:pPr>
      <w:numPr>
        <w:numId w:val="5"/>
      </w:numPr>
    </w:pPr>
  </w:style>
  <w:style w:type="numbering" w:customStyle="1" w:styleId="List6">
    <w:name w:val="List 6"/>
    <w:basedOn w:val="NoList"/>
    <w:rsid w:val="00F63A8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3466</CharactersWithSpaces>
  <SharedDoc>false</SharedDoc>
  <HLinks>
    <vt:vector size="6" baseType="variant">
      <vt:variant>
        <vt:i4>4849706</vt:i4>
      </vt:variant>
      <vt:variant>
        <vt:i4>2729</vt:i4>
      </vt:variant>
      <vt:variant>
        <vt:i4>1025</vt:i4>
      </vt:variant>
      <vt:variant>
        <vt:i4>1</vt:i4>
      </vt:variant>
      <vt:variant>
        <vt:lpwstr>MRN_Word_header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Jenny Reynolds</cp:lastModifiedBy>
  <cp:revision>2</cp:revision>
  <cp:lastPrinted>2012-09-12T09:58:00Z</cp:lastPrinted>
  <dcterms:created xsi:type="dcterms:W3CDTF">2015-10-09T11:51:00Z</dcterms:created>
  <dcterms:modified xsi:type="dcterms:W3CDTF">2015-10-09T11:51:00Z</dcterms:modified>
</cp:coreProperties>
</file>